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6F43E" w14:textId="77777777" w:rsidR="006C630C" w:rsidRPr="00AD6CDA" w:rsidRDefault="008957F4" w:rsidP="00F42DF5">
      <w:pPr>
        <w:jc w:val="center"/>
        <w:rPr>
          <w:b/>
          <w:sz w:val="24"/>
          <w:szCs w:val="24"/>
          <w:u w:val="single"/>
        </w:rPr>
      </w:pPr>
      <w:r w:rsidRPr="00AD6CDA">
        <w:rPr>
          <w:b/>
          <w:sz w:val="24"/>
          <w:szCs w:val="24"/>
          <w:u w:val="single"/>
        </w:rPr>
        <w:t>Introducing Confidence Intervals</w:t>
      </w:r>
    </w:p>
    <w:p w14:paraId="67F6F43F" w14:textId="77777777" w:rsidR="00F42DF5" w:rsidRPr="00AD6CDA" w:rsidRDefault="00316C68" w:rsidP="00F42DF5">
      <w:pPr>
        <w:rPr>
          <w:b/>
          <w:sz w:val="24"/>
          <w:szCs w:val="24"/>
          <w:u w:val="single"/>
        </w:rPr>
      </w:pPr>
      <w:r w:rsidRPr="00AD6CDA">
        <w:rPr>
          <w:b/>
          <w:sz w:val="24"/>
          <w:szCs w:val="24"/>
          <w:u w:val="single"/>
        </w:rPr>
        <w:t>The Price Is Right –</w:t>
      </w:r>
      <w:r w:rsidR="00A52A80" w:rsidRPr="00AD6CDA">
        <w:rPr>
          <w:b/>
          <w:sz w:val="24"/>
          <w:szCs w:val="24"/>
          <w:u w:val="single"/>
        </w:rPr>
        <w:t xml:space="preserve"> Rang</w:t>
      </w:r>
      <w:r w:rsidRPr="00AD6CDA">
        <w:rPr>
          <w:b/>
          <w:sz w:val="24"/>
          <w:szCs w:val="24"/>
          <w:u w:val="single"/>
        </w:rPr>
        <w:t>e Game</w:t>
      </w:r>
    </w:p>
    <w:p w14:paraId="67F6F440" w14:textId="77777777" w:rsidR="00F42DF5" w:rsidRPr="00AD6CDA" w:rsidRDefault="00316C68" w:rsidP="00316C68">
      <w:pPr>
        <w:pStyle w:val="ListParagraph"/>
        <w:numPr>
          <w:ilvl w:val="0"/>
          <w:numId w:val="2"/>
        </w:numPr>
        <w:rPr>
          <w:sz w:val="24"/>
          <w:szCs w:val="24"/>
        </w:rPr>
      </w:pPr>
      <w:r w:rsidRPr="00AD6CDA">
        <w:rPr>
          <w:sz w:val="24"/>
          <w:szCs w:val="24"/>
        </w:rPr>
        <w:t xml:space="preserve">Watch the </w:t>
      </w:r>
      <w:proofErr w:type="spellStart"/>
      <w:r w:rsidRPr="00AD6CDA">
        <w:rPr>
          <w:sz w:val="24"/>
          <w:szCs w:val="24"/>
        </w:rPr>
        <w:t>Youtube</w:t>
      </w:r>
      <w:proofErr w:type="spellEnd"/>
      <w:r w:rsidRPr="00AD6CDA">
        <w:rPr>
          <w:sz w:val="24"/>
          <w:szCs w:val="24"/>
        </w:rPr>
        <w:t xml:space="preserve"> Video: </w:t>
      </w:r>
      <w:hyperlink r:id="rId5" w:history="1">
        <w:r w:rsidRPr="00AD6CDA">
          <w:rPr>
            <w:rStyle w:val="Hyperlink"/>
            <w:sz w:val="24"/>
            <w:szCs w:val="24"/>
          </w:rPr>
          <w:t>https://www.youtube.com/watch?v=dJ2XyxxuO9c</w:t>
        </w:r>
      </w:hyperlink>
    </w:p>
    <w:p w14:paraId="67F6F441" w14:textId="77777777" w:rsidR="00316C68" w:rsidRPr="00AD6CDA" w:rsidRDefault="00316C68" w:rsidP="00316C68">
      <w:pPr>
        <w:rPr>
          <w:sz w:val="24"/>
          <w:szCs w:val="24"/>
        </w:rPr>
      </w:pPr>
    </w:p>
    <w:p w14:paraId="67F6F442" w14:textId="77777777" w:rsidR="00316C68" w:rsidRPr="00AD6CDA" w:rsidRDefault="00316C68" w:rsidP="00316C68">
      <w:pPr>
        <w:pStyle w:val="ListParagraph"/>
        <w:numPr>
          <w:ilvl w:val="0"/>
          <w:numId w:val="2"/>
        </w:numPr>
        <w:rPr>
          <w:sz w:val="24"/>
          <w:szCs w:val="24"/>
        </w:rPr>
      </w:pPr>
      <w:r w:rsidRPr="00AD6CDA">
        <w:rPr>
          <w:sz w:val="24"/>
          <w:szCs w:val="24"/>
        </w:rPr>
        <w:t>Get in groups of 2 or 3 and answer the following questions:</w:t>
      </w:r>
    </w:p>
    <w:p w14:paraId="67F6F443" w14:textId="77777777" w:rsidR="00316C68" w:rsidRPr="00AD6CDA" w:rsidRDefault="00316C68" w:rsidP="00316C68">
      <w:pPr>
        <w:pStyle w:val="ListParagraph"/>
        <w:numPr>
          <w:ilvl w:val="0"/>
          <w:numId w:val="3"/>
        </w:numPr>
        <w:rPr>
          <w:sz w:val="24"/>
          <w:szCs w:val="24"/>
        </w:rPr>
      </w:pPr>
      <w:r w:rsidRPr="00AD6CDA">
        <w:rPr>
          <w:sz w:val="24"/>
          <w:szCs w:val="24"/>
        </w:rPr>
        <w:t>As a contestant, what size bar would be best? Why?</w:t>
      </w:r>
    </w:p>
    <w:p w14:paraId="67F6F444" w14:textId="77777777" w:rsidR="00316C68" w:rsidRPr="00AD6CDA" w:rsidRDefault="00316C68" w:rsidP="00316C68">
      <w:pPr>
        <w:rPr>
          <w:sz w:val="24"/>
          <w:szCs w:val="24"/>
        </w:rPr>
      </w:pPr>
    </w:p>
    <w:p w14:paraId="67F6F445" w14:textId="77777777" w:rsidR="00316C68" w:rsidRPr="00AD6CDA" w:rsidRDefault="00316C68" w:rsidP="00316C68">
      <w:pPr>
        <w:rPr>
          <w:sz w:val="24"/>
          <w:szCs w:val="24"/>
        </w:rPr>
      </w:pPr>
    </w:p>
    <w:p w14:paraId="67F6F446" w14:textId="77777777" w:rsidR="00316C68" w:rsidRPr="00AD6CDA" w:rsidRDefault="00316C68" w:rsidP="00316C68">
      <w:pPr>
        <w:pStyle w:val="ListParagraph"/>
        <w:numPr>
          <w:ilvl w:val="0"/>
          <w:numId w:val="3"/>
        </w:numPr>
        <w:rPr>
          <w:sz w:val="24"/>
          <w:szCs w:val="24"/>
        </w:rPr>
      </w:pPr>
      <w:r w:rsidRPr="00AD6CDA">
        <w:rPr>
          <w:sz w:val="24"/>
          <w:szCs w:val="24"/>
        </w:rPr>
        <w:t>As the show producer, what size bar would be best? Why?</w:t>
      </w:r>
    </w:p>
    <w:p w14:paraId="67F6F447" w14:textId="77777777" w:rsidR="00316C68" w:rsidRPr="00AD6CDA" w:rsidRDefault="00316C68" w:rsidP="00316C68">
      <w:pPr>
        <w:rPr>
          <w:sz w:val="24"/>
          <w:szCs w:val="24"/>
        </w:rPr>
      </w:pPr>
    </w:p>
    <w:p w14:paraId="67F6F448" w14:textId="77777777" w:rsidR="00316C68" w:rsidRPr="00AD6CDA" w:rsidRDefault="00316C68" w:rsidP="00316C68">
      <w:pPr>
        <w:rPr>
          <w:sz w:val="24"/>
          <w:szCs w:val="24"/>
        </w:rPr>
      </w:pPr>
    </w:p>
    <w:p w14:paraId="67F6F449" w14:textId="77777777" w:rsidR="00316C68" w:rsidRPr="00AD6CDA" w:rsidRDefault="00316C68" w:rsidP="00316C68">
      <w:pPr>
        <w:pStyle w:val="ListParagraph"/>
        <w:numPr>
          <w:ilvl w:val="0"/>
          <w:numId w:val="3"/>
        </w:numPr>
        <w:rPr>
          <w:sz w:val="24"/>
          <w:szCs w:val="24"/>
        </w:rPr>
      </w:pPr>
      <w:r w:rsidRPr="00AD6CDA">
        <w:rPr>
          <w:sz w:val="24"/>
          <w:szCs w:val="24"/>
        </w:rPr>
        <w:t>What would happen to the rate of prize winning if the bar was much narrower? Why?</w:t>
      </w:r>
    </w:p>
    <w:p w14:paraId="67F6F44A" w14:textId="77777777" w:rsidR="00316C68" w:rsidRPr="00AD6CDA" w:rsidRDefault="00316C68" w:rsidP="00316C68">
      <w:pPr>
        <w:rPr>
          <w:sz w:val="24"/>
          <w:szCs w:val="24"/>
        </w:rPr>
      </w:pPr>
    </w:p>
    <w:p w14:paraId="67F6F44B" w14:textId="77777777" w:rsidR="00316C68" w:rsidRPr="00AD6CDA" w:rsidRDefault="00316C68" w:rsidP="00316C68">
      <w:pPr>
        <w:rPr>
          <w:sz w:val="24"/>
          <w:szCs w:val="24"/>
        </w:rPr>
      </w:pPr>
    </w:p>
    <w:p w14:paraId="67F6F44C" w14:textId="77777777" w:rsidR="00316C68" w:rsidRPr="00AD6CDA" w:rsidRDefault="00316C68" w:rsidP="00316C68">
      <w:pPr>
        <w:pStyle w:val="ListParagraph"/>
        <w:numPr>
          <w:ilvl w:val="0"/>
          <w:numId w:val="3"/>
        </w:numPr>
        <w:rPr>
          <w:sz w:val="24"/>
          <w:szCs w:val="24"/>
        </w:rPr>
      </w:pPr>
      <w:r w:rsidRPr="00AD6CDA">
        <w:rPr>
          <w:sz w:val="24"/>
          <w:szCs w:val="24"/>
        </w:rPr>
        <w:t>What would happen to the rate of prize winning if the bar was much wider? Why?</w:t>
      </w:r>
    </w:p>
    <w:p w14:paraId="67F6F44E" w14:textId="77777777" w:rsidR="00316C68" w:rsidRPr="00AD6CDA" w:rsidRDefault="00316C68" w:rsidP="00316C68">
      <w:pPr>
        <w:rPr>
          <w:sz w:val="24"/>
          <w:szCs w:val="24"/>
        </w:rPr>
      </w:pPr>
    </w:p>
    <w:p w14:paraId="67F6F44F" w14:textId="77777777" w:rsidR="00316C68" w:rsidRPr="00AD6CDA" w:rsidRDefault="00316C68" w:rsidP="00316C68">
      <w:pPr>
        <w:pStyle w:val="ListParagraph"/>
        <w:numPr>
          <w:ilvl w:val="0"/>
          <w:numId w:val="3"/>
        </w:numPr>
        <w:rPr>
          <w:sz w:val="24"/>
          <w:szCs w:val="24"/>
        </w:rPr>
      </w:pPr>
      <w:r w:rsidRPr="00AD6CDA">
        <w:rPr>
          <w:sz w:val="24"/>
          <w:szCs w:val="24"/>
        </w:rPr>
        <w:t>Since large intervals are more likely to contain the population value of interest, shouldn’t all confidence intervals be as large as possible to ensure you capture the population value?</w:t>
      </w:r>
    </w:p>
    <w:p w14:paraId="13374C37" w14:textId="5E193894" w:rsidR="001A1B7E" w:rsidRPr="00AD6CDA" w:rsidRDefault="001A1B7E" w:rsidP="001A1B7E">
      <w:pPr>
        <w:rPr>
          <w:sz w:val="24"/>
          <w:szCs w:val="24"/>
        </w:rPr>
      </w:pPr>
    </w:p>
    <w:p w14:paraId="47485F02" w14:textId="77777777" w:rsidR="00AD6CDA" w:rsidRDefault="00AD6CDA" w:rsidP="001A1B7E">
      <w:pPr>
        <w:rPr>
          <w:sz w:val="24"/>
          <w:szCs w:val="24"/>
        </w:rPr>
      </w:pPr>
    </w:p>
    <w:p w14:paraId="2F6B9EB6" w14:textId="77777777" w:rsidR="00AD6CDA" w:rsidRDefault="00AD6CDA" w:rsidP="001A1B7E">
      <w:pPr>
        <w:rPr>
          <w:sz w:val="24"/>
          <w:szCs w:val="24"/>
        </w:rPr>
      </w:pPr>
    </w:p>
    <w:p w14:paraId="4EB46882" w14:textId="77777777" w:rsidR="00AD6CDA" w:rsidRDefault="00AD6CDA" w:rsidP="001A1B7E">
      <w:pPr>
        <w:rPr>
          <w:sz w:val="24"/>
          <w:szCs w:val="24"/>
        </w:rPr>
      </w:pPr>
    </w:p>
    <w:p w14:paraId="7A1A2C7F" w14:textId="77777777" w:rsidR="00AD6CDA" w:rsidRDefault="00AD6CDA" w:rsidP="001A1B7E">
      <w:pPr>
        <w:rPr>
          <w:sz w:val="24"/>
          <w:szCs w:val="24"/>
        </w:rPr>
      </w:pPr>
    </w:p>
    <w:p w14:paraId="592A0C35" w14:textId="77777777" w:rsidR="00AD6CDA" w:rsidRPr="00AD6CDA" w:rsidRDefault="00AD6CDA" w:rsidP="001A1B7E">
      <w:pPr>
        <w:rPr>
          <w:sz w:val="24"/>
          <w:szCs w:val="24"/>
        </w:rPr>
      </w:pPr>
    </w:p>
    <w:p w14:paraId="6A233665" w14:textId="77777777" w:rsidR="001A1B7E" w:rsidRPr="00AD6CDA" w:rsidRDefault="001A1B7E" w:rsidP="001A1B7E">
      <w:pPr>
        <w:rPr>
          <w:sz w:val="24"/>
          <w:szCs w:val="24"/>
        </w:rPr>
      </w:pPr>
      <w:r w:rsidRPr="00AD6CDA">
        <w:rPr>
          <w:b/>
          <w:sz w:val="24"/>
          <w:szCs w:val="24"/>
        </w:rPr>
        <w:lastRenderedPageBreak/>
        <w:t>Section 8.1 – Confidence Intervals: The Basics</w:t>
      </w:r>
    </w:p>
    <w:p w14:paraId="72A3958B" w14:textId="77777777" w:rsidR="001A1B7E" w:rsidRPr="00AD6CDA" w:rsidRDefault="001A1B7E" w:rsidP="001A1B7E">
      <w:pPr>
        <w:rPr>
          <w:sz w:val="24"/>
          <w:szCs w:val="24"/>
        </w:rPr>
      </w:pPr>
      <w:r w:rsidRPr="00AD6CDA">
        <w:rPr>
          <w:noProof/>
          <w:sz w:val="24"/>
          <w:szCs w:val="24"/>
        </w:rPr>
        <w:drawing>
          <wp:inline distT="0" distB="0" distL="0" distR="0" wp14:anchorId="6F61D501" wp14:editId="61B86436">
            <wp:extent cx="4876800" cy="8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9187" cy="890817"/>
                    </a:xfrm>
                    <a:prstGeom prst="rect">
                      <a:avLst/>
                    </a:prstGeom>
                    <a:noFill/>
                    <a:ln>
                      <a:noFill/>
                    </a:ln>
                    <a:effectLst/>
                  </pic:spPr>
                </pic:pic>
              </a:graphicData>
            </a:graphic>
          </wp:inline>
        </w:drawing>
      </w:r>
    </w:p>
    <w:p w14:paraId="08ACFACC" w14:textId="77777777" w:rsidR="001A1B7E" w:rsidRPr="00AD6CDA" w:rsidRDefault="001A1B7E" w:rsidP="001A1B7E">
      <w:pPr>
        <w:rPr>
          <w:sz w:val="24"/>
          <w:szCs w:val="24"/>
        </w:rPr>
      </w:pPr>
      <w:r w:rsidRPr="00AD6CDA">
        <w:rPr>
          <w:sz w:val="24"/>
          <w:szCs w:val="24"/>
        </w:rPr>
        <w:t>Since variability is almost always present when calculating statistics from different samples, we must extend our thinking about estimating parameters to include an acknowledgement that repeated sampling could yield different results.</w:t>
      </w:r>
    </w:p>
    <w:p w14:paraId="451FCE6F" w14:textId="77777777" w:rsidR="001A1B7E" w:rsidRPr="00AD6CDA" w:rsidRDefault="001A1B7E" w:rsidP="001A1B7E">
      <w:pPr>
        <w:rPr>
          <w:rFonts w:eastAsiaTheme="minorEastAsia"/>
          <w:b/>
          <w:sz w:val="24"/>
          <w:szCs w:val="24"/>
          <w:u w:val="single"/>
        </w:rPr>
      </w:pPr>
      <w:r w:rsidRPr="00AD6CDA">
        <w:rPr>
          <w:rFonts w:eastAsiaTheme="minorEastAsia"/>
          <w:b/>
          <w:sz w:val="24"/>
          <w:szCs w:val="24"/>
          <w:u w:val="single"/>
        </w:rPr>
        <w:t>The Idea of a Confidence Interval</w:t>
      </w:r>
    </w:p>
    <w:p w14:paraId="5A329E87" w14:textId="77777777" w:rsidR="001A1B7E" w:rsidRPr="00AD6CDA" w:rsidRDefault="001A1B7E" w:rsidP="001A1B7E">
      <w:pPr>
        <w:rPr>
          <w:rFonts w:eastAsiaTheme="minorEastAsia"/>
          <w:sz w:val="24"/>
          <w:szCs w:val="24"/>
        </w:rPr>
      </w:pPr>
      <w:r w:rsidRPr="00AD6CDA">
        <w:rPr>
          <w:noProof/>
          <w:sz w:val="24"/>
          <w:szCs w:val="24"/>
        </w:rPr>
        <w:drawing>
          <wp:inline distT="0" distB="0" distL="0" distR="0" wp14:anchorId="7EE2C01B" wp14:editId="51300C03">
            <wp:extent cx="1539240" cy="1159566"/>
            <wp:effectExtent l="0" t="0" r="3810" b="2540"/>
            <wp:docPr id="30725" name="Picture 6"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5" name="Picture 6" descr="Picture 2.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5741" cy="1164463"/>
                    </a:xfrm>
                    <a:prstGeom prst="rect">
                      <a:avLst/>
                    </a:prstGeom>
                    <a:noFill/>
                    <a:ln>
                      <a:noFill/>
                    </a:ln>
                    <a:extLst/>
                  </pic:spPr>
                </pic:pic>
              </a:graphicData>
            </a:graphic>
          </wp:inline>
        </w:drawing>
      </w:r>
    </w:p>
    <w:p w14:paraId="62F888F7" w14:textId="4F2091E2" w:rsidR="001A1B7E" w:rsidRPr="00AD6CDA" w:rsidRDefault="00AD6CDA" w:rsidP="001A1B7E">
      <w:pPr>
        <w:rPr>
          <w:rFonts w:eastAsiaTheme="minorEastAsia"/>
          <w:sz w:val="24"/>
          <w:szCs w:val="24"/>
        </w:rPr>
      </w:pPr>
      <w:r w:rsidRPr="00AD6CDA">
        <w:rPr>
          <w:sz w:val="24"/>
          <w:szCs w:val="24"/>
        </w:rPr>
        <w:drawing>
          <wp:inline distT="0" distB="0" distL="0" distR="0" wp14:anchorId="4E8BB265" wp14:editId="06A881BA">
            <wp:extent cx="224790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152" cy="632076"/>
                    </a:xfrm>
                    <a:prstGeom prst="rect">
                      <a:avLst/>
                    </a:prstGeom>
                    <a:noFill/>
                    <a:ln>
                      <a:noFill/>
                    </a:ln>
                  </pic:spPr>
                </pic:pic>
              </a:graphicData>
            </a:graphic>
          </wp:inline>
        </w:drawing>
      </w:r>
    </w:p>
    <w:p w14:paraId="11F9A5C4" w14:textId="77777777" w:rsidR="001A1B7E" w:rsidRPr="00AD6CDA" w:rsidRDefault="001A1B7E" w:rsidP="001A1B7E">
      <w:pPr>
        <w:rPr>
          <w:rFonts w:eastAsiaTheme="minorEastAsia"/>
          <w:sz w:val="24"/>
          <w:szCs w:val="24"/>
        </w:rPr>
      </w:pPr>
      <w:r w:rsidRPr="00AD6CDA">
        <w:rPr>
          <w:rFonts w:eastAsiaTheme="minorEastAsia"/>
          <w:noProof/>
          <w:sz w:val="24"/>
          <w:szCs w:val="24"/>
        </w:rPr>
        <w:drawing>
          <wp:inline distT="0" distB="0" distL="0" distR="0" wp14:anchorId="157C35FF" wp14:editId="21470724">
            <wp:extent cx="4625340" cy="470062"/>
            <wp:effectExtent l="0" t="0" r="381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1368" cy="475756"/>
                    </a:xfrm>
                    <a:prstGeom prst="rect">
                      <a:avLst/>
                    </a:prstGeom>
                    <a:noFill/>
                    <a:ln>
                      <a:noFill/>
                    </a:ln>
                    <a:effectLst/>
                  </pic:spPr>
                </pic:pic>
              </a:graphicData>
            </a:graphic>
          </wp:inline>
        </w:drawing>
      </w:r>
    </w:p>
    <w:p w14:paraId="31591836" w14:textId="77777777" w:rsidR="001A1B7E" w:rsidRPr="00AD6CDA" w:rsidRDefault="001A1B7E" w:rsidP="001A1B7E">
      <w:pPr>
        <w:pStyle w:val="NormalWeb"/>
        <w:kinsoku w:val="0"/>
        <w:overflowPunct w:val="0"/>
        <w:spacing w:before="400" w:beforeAutospacing="0" w:after="0" w:afterAutospacing="0"/>
        <w:ind w:left="360" w:hanging="360"/>
        <w:jc w:val="center"/>
        <w:textAlignment w:val="baseline"/>
      </w:pPr>
      <w:proofErr w:type="gramStart"/>
      <w:r w:rsidRPr="00AD6CDA">
        <w:rPr>
          <w:rFonts w:ascii="Palatino" w:eastAsia="MS PGothic" w:hAnsi="Palatino" w:cs="MS PGothic"/>
          <w:b/>
          <w:bCs/>
          <w:color w:val="000000"/>
          <w:kern w:val="24"/>
        </w:rPr>
        <w:t>estimate</w:t>
      </w:r>
      <w:proofErr w:type="gramEnd"/>
      <w:r w:rsidRPr="00AD6CDA">
        <w:rPr>
          <w:rFonts w:ascii="Palatino" w:eastAsia="MS PGothic" w:hAnsi="Palatino" w:cs="MS PGothic"/>
          <w:b/>
          <w:bCs/>
          <w:color w:val="000000"/>
          <w:kern w:val="24"/>
        </w:rPr>
        <w:t xml:space="preserve"> </w:t>
      </w:r>
      <w:r w:rsidRPr="00AD6CDA">
        <w:rPr>
          <w:rFonts w:ascii="Courier" w:eastAsia="MS PGothic" w:hAnsi="MS PGothic" w:cs="MS PGothic" w:hint="eastAsia"/>
          <w:color w:val="000000"/>
          <w:kern w:val="24"/>
        </w:rPr>
        <w:t>±</w:t>
      </w:r>
      <w:r w:rsidRPr="00AD6CDA">
        <w:rPr>
          <w:rFonts w:ascii="Palatino" w:eastAsia="MS PGothic" w:hAnsi="Palatino" w:cs="MS PGothic"/>
          <w:b/>
          <w:bCs/>
          <w:color w:val="000000"/>
          <w:kern w:val="24"/>
        </w:rPr>
        <w:t xml:space="preserve"> margin of error</w:t>
      </w:r>
    </w:p>
    <w:p w14:paraId="2F4DFE15" w14:textId="77777777" w:rsidR="001A1B7E" w:rsidRPr="00AD6CDA" w:rsidRDefault="001A1B7E" w:rsidP="001A1B7E">
      <w:pPr>
        <w:rPr>
          <w:sz w:val="24"/>
          <w:szCs w:val="24"/>
        </w:rPr>
      </w:pPr>
    </w:p>
    <w:p w14:paraId="7EF6A4B1" w14:textId="77777777" w:rsidR="00AD6CDA" w:rsidRPr="00AD6CDA" w:rsidRDefault="00AD6CDA" w:rsidP="00AD6CDA">
      <w:pPr>
        <w:rPr>
          <w:sz w:val="24"/>
          <w:szCs w:val="24"/>
        </w:rPr>
      </w:pPr>
      <w:r w:rsidRPr="00AD6CDA">
        <w:rPr>
          <w:b/>
          <w:sz w:val="24"/>
          <w:szCs w:val="24"/>
        </w:rPr>
        <w:t>Example #1</w:t>
      </w:r>
    </w:p>
    <w:p w14:paraId="571916E8" w14:textId="77777777" w:rsidR="00AD6CDA" w:rsidRPr="00AD6CDA" w:rsidRDefault="00AD6CDA" w:rsidP="00AD6CDA">
      <w:pPr>
        <w:rPr>
          <w:sz w:val="24"/>
          <w:szCs w:val="24"/>
        </w:rPr>
      </w:pPr>
      <w:r w:rsidRPr="00AD6CDA">
        <w:rPr>
          <w:sz w:val="24"/>
          <w:szCs w:val="24"/>
        </w:rPr>
        <w:t>The times of finishers in the Peachtree Road Race are normally distributed with a standard deviation of 9 minutes.  If a random sample of 50 runners had a mean of 59.4 minutes, construct a 95% confidence interval for the mean time for all runners.  Then construct a 99.7% confidence interval.</w:t>
      </w:r>
    </w:p>
    <w:p w14:paraId="78909ED1" w14:textId="77777777" w:rsidR="00AD6CDA" w:rsidRPr="00AD6CDA" w:rsidRDefault="00AD6CDA" w:rsidP="00AD6CDA">
      <w:pPr>
        <w:rPr>
          <w:sz w:val="24"/>
          <w:szCs w:val="24"/>
        </w:rPr>
      </w:pPr>
    </w:p>
    <w:p w14:paraId="5F299E47" w14:textId="77777777" w:rsidR="00AD6CDA" w:rsidRPr="00AD6CDA" w:rsidRDefault="00AD6CDA" w:rsidP="00AD6CDA">
      <w:pPr>
        <w:rPr>
          <w:sz w:val="24"/>
          <w:szCs w:val="24"/>
        </w:rPr>
      </w:pPr>
    </w:p>
    <w:p w14:paraId="5AA9E86D" w14:textId="77777777" w:rsidR="00AD6CDA" w:rsidRPr="00AD6CDA" w:rsidRDefault="00AD6CDA" w:rsidP="00AD6CDA">
      <w:pPr>
        <w:rPr>
          <w:sz w:val="24"/>
          <w:szCs w:val="24"/>
        </w:rPr>
      </w:pPr>
    </w:p>
    <w:p w14:paraId="4346873F" w14:textId="77777777" w:rsidR="00AD6CDA" w:rsidRPr="00AD6CDA" w:rsidRDefault="00AD6CDA" w:rsidP="00AD6CDA">
      <w:pPr>
        <w:rPr>
          <w:b/>
          <w:sz w:val="24"/>
          <w:szCs w:val="24"/>
          <w:u w:val="single"/>
        </w:rPr>
      </w:pPr>
      <w:r w:rsidRPr="00AD6CDA">
        <w:rPr>
          <w:b/>
          <w:sz w:val="24"/>
          <w:szCs w:val="24"/>
          <w:u w:val="single"/>
        </w:rPr>
        <w:t>Interpreting Confidence Levels and Confidence Intervals</w:t>
      </w:r>
    </w:p>
    <w:p w14:paraId="03BF5A13" w14:textId="77777777" w:rsidR="00AD6CDA" w:rsidRPr="00AD6CDA" w:rsidRDefault="00AD6CDA" w:rsidP="00AD6CDA">
      <w:pPr>
        <w:rPr>
          <w:sz w:val="24"/>
          <w:szCs w:val="24"/>
        </w:rPr>
      </w:pPr>
      <w:r w:rsidRPr="00AD6CDA">
        <w:rPr>
          <w:sz w:val="24"/>
          <w:szCs w:val="24"/>
        </w:rPr>
        <w:t>The confidence level is the overall capture rate if the method is used many times. Starting with the population, imagine taking many SRSs of 16 observations. The sample mean will vary from sample to sample, but when we use the method estimate ± margin of error to get an interval based on each sample, 95% of these intervals capture the unknown population mean µ.</w:t>
      </w:r>
    </w:p>
    <w:p w14:paraId="5EEF4ABD" w14:textId="77777777" w:rsidR="00AD6CDA" w:rsidRPr="00AD6CDA" w:rsidRDefault="00AD6CDA" w:rsidP="00AD6CDA">
      <w:pPr>
        <w:rPr>
          <w:sz w:val="24"/>
          <w:szCs w:val="24"/>
        </w:rPr>
      </w:pPr>
      <w:r w:rsidRPr="00AD6CDA">
        <w:rPr>
          <w:sz w:val="24"/>
          <w:szCs w:val="24"/>
        </w:rPr>
        <w:drawing>
          <wp:inline distT="0" distB="0" distL="0" distR="0" wp14:anchorId="48DA7CCF" wp14:editId="42BB034A">
            <wp:extent cx="1639474" cy="1653540"/>
            <wp:effectExtent l="0" t="0" r="0" b="3810"/>
            <wp:docPr id="32772" name="Picture 12" descr="Pictu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12" descr="Picture 6.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2438" cy="1656529"/>
                    </a:xfrm>
                    <a:prstGeom prst="rect">
                      <a:avLst/>
                    </a:prstGeom>
                    <a:noFill/>
                    <a:ln>
                      <a:noFill/>
                    </a:ln>
                    <a:extLst/>
                  </pic:spPr>
                </pic:pic>
              </a:graphicData>
            </a:graphic>
          </wp:inline>
        </w:drawing>
      </w:r>
    </w:p>
    <w:p w14:paraId="1D132B93" w14:textId="77777777" w:rsidR="00AD6CDA" w:rsidRPr="00AD6CDA" w:rsidRDefault="00AD6CDA" w:rsidP="00AD6CDA">
      <w:pPr>
        <w:rPr>
          <w:sz w:val="24"/>
          <w:szCs w:val="24"/>
        </w:rPr>
      </w:pPr>
      <w:r w:rsidRPr="00AD6CDA">
        <w:rPr>
          <w:b/>
          <w:sz w:val="24"/>
          <w:szCs w:val="24"/>
        </w:rPr>
        <w:t>Confidence level</w:t>
      </w:r>
      <w:r w:rsidRPr="00AD6CDA">
        <w:rPr>
          <w:sz w:val="24"/>
          <w:szCs w:val="24"/>
        </w:rPr>
        <w:t>: To say that we are 95% confident is shorthand for “95% of all possible samples of a given size from this population will result in an interval that captures the unknown parameter.”</w:t>
      </w:r>
    </w:p>
    <w:p w14:paraId="037B63FF" w14:textId="77777777" w:rsidR="00AD6CDA" w:rsidRPr="00AD6CDA" w:rsidRDefault="00AD6CDA" w:rsidP="00AD6CDA">
      <w:pPr>
        <w:rPr>
          <w:sz w:val="24"/>
          <w:szCs w:val="24"/>
        </w:rPr>
      </w:pPr>
      <w:r w:rsidRPr="00AD6CDA">
        <w:rPr>
          <w:b/>
          <w:sz w:val="24"/>
          <w:szCs w:val="24"/>
        </w:rPr>
        <w:t>Confidence interval</w:t>
      </w:r>
      <w:r w:rsidRPr="00AD6CDA">
        <w:rPr>
          <w:sz w:val="24"/>
          <w:szCs w:val="24"/>
        </w:rPr>
        <w:t>: To interpret a C% confidence interval for an unknown parameter, say, “We are C% confident that the interval from _____ to _____ captures the actual value of the [population parameter in context].”</w:t>
      </w:r>
    </w:p>
    <w:p w14:paraId="1E3885F6" w14:textId="77777777" w:rsidR="00AD6CDA" w:rsidRDefault="00AD6CDA" w:rsidP="00AD6CDA">
      <w:pPr>
        <w:rPr>
          <w:b/>
          <w:sz w:val="24"/>
          <w:szCs w:val="24"/>
          <w:u w:val="single"/>
        </w:rPr>
      </w:pPr>
    </w:p>
    <w:p w14:paraId="2FB7ECF4" w14:textId="77777777" w:rsidR="00AD6CDA" w:rsidRPr="00AD6CDA" w:rsidRDefault="00AD6CDA" w:rsidP="00AD6CDA">
      <w:pPr>
        <w:rPr>
          <w:sz w:val="24"/>
          <w:szCs w:val="24"/>
          <w:u w:val="single"/>
        </w:rPr>
      </w:pPr>
      <w:r w:rsidRPr="00AD6CDA">
        <w:rPr>
          <w:b/>
          <w:sz w:val="24"/>
          <w:szCs w:val="24"/>
          <w:u w:val="single"/>
        </w:rPr>
        <w:t>Constructing a Confidence Interval</w:t>
      </w:r>
    </w:p>
    <w:p w14:paraId="3E0A12C6" w14:textId="77777777" w:rsidR="00AD6CDA" w:rsidRPr="00AD6CDA" w:rsidRDefault="00AD6CDA" w:rsidP="00AD6CDA">
      <w:pPr>
        <w:rPr>
          <w:sz w:val="24"/>
          <w:szCs w:val="24"/>
        </w:rPr>
      </w:pPr>
      <w:r w:rsidRPr="00AD6CDA">
        <w:rPr>
          <w:sz w:val="24"/>
          <w:szCs w:val="24"/>
        </w:rPr>
        <w:t>When we were calculating both a 95% and a 99.7% confidence interval for the mystery mean µ, we started with</w:t>
      </w:r>
    </w:p>
    <w:p w14:paraId="237F105F" w14:textId="77777777" w:rsidR="00AD6CDA" w:rsidRPr="00AD6CDA" w:rsidRDefault="00AD6CDA" w:rsidP="00AD6CDA">
      <w:pPr>
        <w:rPr>
          <w:b/>
          <w:sz w:val="24"/>
          <w:szCs w:val="24"/>
        </w:rPr>
      </w:pPr>
      <w:proofErr w:type="gramStart"/>
      <w:r w:rsidRPr="00AD6CDA">
        <w:rPr>
          <w:b/>
          <w:sz w:val="24"/>
          <w:szCs w:val="24"/>
        </w:rPr>
        <w:t>estimate</w:t>
      </w:r>
      <w:proofErr w:type="gramEnd"/>
      <w:r w:rsidRPr="00AD6CDA">
        <w:rPr>
          <w:b/>
          <w:sz w:val="24"/>
          <w:szCs w:val="24"/>
        </w:rPr>
        <w:t xml:space="preserve"> ± margin of error</w:t>
      </w:r>
    </w:p>
    <w:p w14:paraId="5CA3C934" w14:textId="77777777" w:rsidR="00AD6CDA" w:rsidRPr="00AD6CDA" w:rsidRDefault="00AD6CDA" w:rsidP="00AD6CDA">
      <w:pPr>
        <w:rPr>
          <w:sz w:val="24"/>
          <w:szCs w:val="24"/>
        </w:rPr>
      </w:pPr>
      <w:r w:rsidRPr="00AD6CDA">
        <w:rPr>
          <w:sz w:val="24"/>
          <w:szCs w:val="24"/>
        </w:rPr>
        <w:t>We saw the size of the confidence interval was affected by both the confidence level and the standard deviation</w:t>
      </w:r>
    </w:p>
    <w:p w14:paraId="126AAEAE" w14:textId="77777777" w:rsidR="00AD6CDA" w:rsidRPr="00AD6CDA" w:rsidRDefault="00AD6CDA" w:rsidP="00AD6CDA">
      <w:pPr>
        <w:rPr>
          <w:sz w:val="24"/>
          <w:szCs w:val="24"/>
        </w:rPr>
      </w:pPr>
      <w:r w:rsidRPr="00AD6CDA">
        <w:rPr>
          <w:sz w:val="24"/>
          <w:szCs w:val="24"/>
        </w:rPr>
        <w:t xml:space="preserve">This leads to a more general formula for confidence intervals: </w:t>
      </w:r>
    </w:p>
    <w:p w14:paraId="21BBF412" w14:textId="77777777" w:rsidR="00AD6CDA" w:rsidRPr="00AD6CDA" w:rsidRDefault="00AD6CDA" w:rsidP="00AD6CDA">
      <w:pPr>
        <w:rPr>
          <w:b/>
          <w:sz w:val="24"/>
          <w:szCs w:val="24"/>
        </w:rPr>
      </w:pPr>
      <w:proofErr w:type="gramStart"/>
      <w:r w:rsidRPr="00AD6CDA">
        <w:rPr>
          <w:b/>
          <w:sz w:val="24"/>
          <w:szCs w:val="24"/>
        </w:rPr>
        <w:t>estimate</w:t>
      </w:r>
      <w:proofErr w:type="gramEnd"/>
      <w:r w:rsidRPr="00AD6CDA">
        <w:rPr>
          <w:b/>
          <w:sz w:val="24"/>
          <w:szCs w:val="24"/>
        </w:rPr>
        <w:t xml:space="preserve"> ± (critical value) • (standard deviation of statistic)</w:t>
      </w:r>
    </w:p>
    <w:p w14:paraId="3CE9A5A7" w14:textId="77777777" w:rsidR="00AD6CDA" w:rsidRDefault="00AD6CDA" w:rsidP="00AD6CDA">
      <w:pPr>
        <w:rPr>
          <w:b/>
          <w:sz w:val="24"/>
          <w:szCs w:val="24"/>
        </w:rPr>
      </w:pPr>
    </w:p>
    <w:p w14:paraId="6A84CCA2" w14:textId="77777777" w:rsidR="00AD6CDA" w:rsidRPr="00AD6CDA" w:rsidRDefault="00AD6CDA" w:rsidP="00AD6CDA">
      <w:pPr>
        <w:rPr>
          <w:b/>
          <w:sz w:val="24"/>
          <w:szCs w:val="24"/>
        </w:rPr>
      </w:pPr>
    </w:p>
    <w:p w14:paraId="09AA51A4" w14:textId="77777777" w:rsidR="00AD6CDA" w:rsidRPr="00AD6CDA" w:rsidRDefault="00AD6CDA" w:rsidP="00AD6CDA">
      <w:pPr>
        <w:spacing w:after="120"/>
        <w:rPr>
          <w:b/>
          <w:sz w:val="24"/>
          <w:szCs w:val="24"/>
        </w:rPr>
      </w:pPr>
      <w:r w:rsidRPr="00AD6CDA">
        <w:rPr>
          <w:b/>
          <w:sz w:val="24"/>
          <w:szCs w:val="24"/>
        </w:rPr>
        <w:t>Properties of Confidence Intervals:</w:t>
      </w:r>
    </w:p>
    <w:p w14:paraId="660AA3B8" w14:textId="77777777" w:rsidR="00AD6CDA" w:rsidRPr="00AD6CDA" w:rsidRDefault="00AD6CDA" w:rsidP="00AD6CDA">
      <w:pPr>
        <w:numPr>
          <w:ilvl w:val="0"/>
          <w:numId w:val="4"/>
        </w:numPr>
        <w:spacing w:after="120" w:line="240" w:lineRule="auto"/>
        <w:rPr>
          <w:sz w:val="24"/>
          <w:szCs w:val="24"/>
        </w:rPr>
      </w:pPr>
      <w:r w:rsidRPr="00AD6CDA">
        <w:rPr>
          <w:sz w:val="24"/>
          <w:szCs w:val="24"/>
        </w:rPr>
        <w:t>The “margin of error” is the (critical value) • (standard deviation of statistic)</w:t>
      </w:r>
    </w:p>
    <w:p w14:paraId="4137AAF3" w14:textId="77777777" w:rsidR="00AD6CDA" w:rsidRPr="00AD6CDA" w:rsidRDefault="00AD6CDA" w:rsidP="00AD6CDA">
      <w:pPr>
        <w:numPr>
          <w:ilvl w:val="0"/>
          <w:numId w:val="4"/>
        </w:numPr>
        <w:spacing w:after="120" w:line="240" w:lineRule="auto"/>
        <w:rPr>
          <w:sz w:val="24"/>
          <w:szCs w:val="24"/>
        </w:rPr>
      </w:pPr>
      <w:r w:rsidRPr="00AD6CDA">
        <w:rPr>
          <w:sz w:val="24"/>
          <w:szCs w:val="24"/>
        </w:rPr>
        <w:t>The user chooses the confidence level, and the margin of error follows from this choice.</w:t>
      </w:r>
    </w:p>
    <w:p w14:paraId="0FA615B4" w14:textId="77777777" w:rsidR="00AD6CDA" w:rsidRPr="00AD6CDA" w:rsidRDefault="00AD6CDA" w:rsidP="00AD6CDA">
      <w:pPr>
        <w:numPr>
          <w:ilvl w:val="0"/>
          <w:numId w:val="4"/>
        </w:numPr>
        <w:spacing w:after="120" w:line="240" w:lineRule="auto"/>
        <w:rPr>
          <w:sz w:val="24"/>
          <w:szCs w:val="24"/>
        </w:rPr>
      </w:pPr>
      <w:r w:rsidRPr="00AD6CDA">
        <w:rPr>
          <w:sz w:val="24"/>
          <w:szCs w:val="24"/>
        </w:rPr>
        <w:t xml:space="preserve">The critical value depends on the confidence level </w:t>
      </w:r>
    </w:p>
    <w:p w14:paraId="719B63AB" w14:textId="77777777" w:rsidR="00AD6CDA" w:rsidRPr="00AD6CDA" w:rsidRDefault="00AD6CDA" w:rsidP="00AD6CDA">
      <w:pPr>
        <w:numPr>
          <w:ilvl w:val="0"/>
          <w:numId w:val="4"/>
        </w:numPr>
        <w:spacing w:after="120" w:line="240" w:lineRule="auto"/>
        <w:rPr>
          <w:sz w:val="24"/>
          <w:szCs w:val="24"/>
        </w:rPr>
      </w:pPr>
      <w:r w:rsidRPr="00AD6CDA">
        <w:rPr>
          <w:sz w:val="24"/>
          <w:szCs w:val="24"/>
        </w:rPr>
        <w:t>Greater confidence requires a larger critical value</w:t>
      </w:r>
    </w:p>
    <w:p w14:paraId="714B89AF" w14:textId="77777777" w:rsidR="00AD6CDA" w:rsidRPr="00AD6CDA" w:rsidRDefault="00AD6CDA" w:rsidP="00AD6CDA">
      <w:pPr>
        <w:numPr>
          <w:ilvl w:val="0"/>
          <w:numId w:val="4"/>
        </w:numPr>
        <w:spacing w:after="120" w:line="240" w:lineRule="auto"/>
        <w:rPr>
          <w:sz w:val="24"/>
          <w:szCs w:val="24"/>
        </w:rPr>
      </w:pPr>
      <w:r w:rsidRPr="00AD6CDA">
        <w:rPr>
          <w:sz w:val="24"/>
          <w:szCs w:val="24"/>
        </w:rPr>
        <w:t>The standard deviation of the statistic depends on the sample size n</w:t>
      </w:r>
    </w:p>
    <w:p w14:paraId="79EDF46F" w14:textId="77777777" w:rsidR="00AD6CDA" w:rsidRPr="00AD6CDA" w:rsidRDefault="00AD6CDA" w:rsidP="00AD6CDA">
      <w:pPr>
        <w:spacing w:after="120"/>
        <w:rPr>
          <w:sz w:val="24"/>
          <w:szCs w:val="24"/>
        </w:rPr>
      </w:pPr>
      <w:r w:rsidRPr="00AD6CDA">
        <w:rPr>
          <w:sz w:val="24"/>
          <w:szCs w:val="24"/>
        </w:rPr>
        <w:drawing>
          <wp:anchor distT="0" distB="0" distL="114300" distR="114300" simplePos="0" relativeHeight="251658752" behindDoc="1" locked="0" layoutInCell="1" allowOverlap="1" wp14:anchorId="01EAB36A" wp14:editId="23F18C5A">
            <wp:simplePos x="0" y="0"/>
            <wp:positionH relativeFrom="column">
              <wp:posOffset>0</wp:posOffset>
            </wp:positionH>
            <wp:positionV relativeFrom="paragraph">
              <wp:posOffset>-1270</wp:posOffset>
            </wp:positionV>
            <wp:extent cx="2626360" cy="847725"/>
            <wp:effectExtent l="0" t="0" r="2540" b="9525"/>
            <wp:wrapThrough wrapText="bothSides">
              <wp:wrapPolygon edited="0">
                <wp:start x="0" y="0"/>
                <wp:lineTo x="0" y="21357"/>
                <wp:lineTo x="21464" y="21357"/>
                <wp:lineTo x="21464" y="0"/>
                <wp:lineTo x="0" y="0"/>
              </wp:wrapPolygon>
            </wp:wrapThrough>
            <wp:docPr id="19" name="Picture 18" descr="Screen shot 2010-11-10 at 10.28.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Screen shot 2010-11-10 at 10.28.57 AM.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6360" cy="8477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D6CDA">
        <w:rPr>
          <w:sz w:val="24"/>
          <w:szCs w:val="24"/>
        </w:rPr>
        <w:t>The margin of error gets smaller when:</w:t>
      </w:r>
    </w:p>
    <w:p w14:paraId="38C73BE3" w14:textId="77777777" w:rsidR="00AD6CDA" w:rsidRPr="00AD6CDA" w:rsidRDefault="00AD6CDA" w:rsidP="00AD6CDA">
      <w:pPr>
        <w:numPr>
          <w:ilvl w:val="0"/>
          <w:numId w:val="5"/>
        </w:numPr>
        <w:spacing w:after="120"/>
        <w:rPr>
          <w:sz w:val="24"/>
          <w:szCs w:val="24"/>
        </w:rPr>
      </w:pPr>
      <w:r w:rsidRPr="00AD6CDA">
        <w:rPr>
          <w:sz w:val="24"/>
          <w:szCs w:val="24"/>
        </w:rPr>
        <w:t>The confidence level decreases</w:t>
      </w:r>
    </w:p>
    <w:p w14:paraId="4E514D27" w14:textId="77777777" w:rsidR="00AD6CDA" w:rsidRPr="00AD6CDA" w:rsidRDefault="00AD6CDA" w:rsidP="00AD6CDA">
      <w:pPr>
        <w:numPr>
          <w:ilvl w:val="0"/>
          <w:numId w:val="5"/>
        </w:numPr>
        <w:spacing w:after="120"/>
        <w:rPr>
          <w:sz w:val="24"/>
          <w:szCs w:val="24"/>
        </w:rPr>
      </w:pPr>
      <w:r w:rsidRPr="00AD6CDA">
        <w:rPr>
          <w:sz w:val="24"/>
          <w:szCs w:val="24"/>
        </w:rPr>
        <w:t>The sample size n increases</w:t>
      </w:r>
    </w:p>
    <w:p w14:paraId="30620156" w14:textId="77777777" w:rsidR="00AD6CDA" w:rsidRPr="00AD6CDA" w:rsidRDefault="00AD6CDA" w:rsidP="00AD6CDA">
      <w:pPr>
        <w:rPr>
          <w:b/>
          <w:sz w:val="24"/>
          <w:szCs w:val="24"/>
          <w:u w:val="single"/>
        </w:rPr>
      </w:pPr>
      <w:r w:rsidRPr="00AD6CDA">
        <w:rPr>
          <w:b/>
          <w:sz w:val="24"/>
          <w:szCs w:val="24"/>
          <w:u w:val="single"/>
        </w:rPr>
        <w:t>Using Confidence Intervals</w:t>
      </w:r>
    </w:p>
    <w:p w14:paraId="3ADA0DB8" w14:textId="77777777" w:rsidR="00AD6CDA" w:rsidRPr="00AD6CDA" w:rsidRDefault="00AD6CDA" w:rsidP="00AD6CDA">
      <w:pPr>
        <w:rPr>
          <w:sz w:val="24"/>
          <w:szCs w:val="24"/>
        </w:rPr>
      </w:pPr>
      <w:r w:rsidRPr="00AD6CDA">
        <w:rPr>
          <w:sz w:val="24"/>
          <w:szCs w:val="24"/>
        </w:rPr>
        <w:t>Before calculating a confidence interval for µ or p there are three important conditions that you should check.</w:t>
      </w:r>
    </w:p>
    <w:p w14:paraId="5A4D1EA3" w14:textId="77777777" w:rsidR="00AD6CDA" w:rsidRPr="00AD6CDA" w:rsidRDefault="00AD6CDA" w:rsidP="00AD6CDA">
      <w:pPr>
        <w:numPr>
          <w:ilvl w:val="0"/>
          <w:numId w:val="6"/>
        </w:numPr>
        <w:rPr>
          <w:sz w:val="24"/>
          <w:szCs w:val="24"/>
        </w:rPr>
      </w:pPr>
      <w:r w:rsidRPr="00AD6CDA">
        <w:rPr>
          <w:b/>
          <w:sz w:val="24"/>
          <w:szCs w:val="24"/>
        </w:rPr>
        <w:t>Random</w:t>
      </w:r>
      <w:r w:rsidRPr="00AD6CDA">
        <w:rPr>
          <w:sz w:val="24"/>
          <w:szCs w:val="24"/>
        </w:rPr>
        <w:t>: The data should come from a well-designed random sample or randomized experiment.</w:t>
      </w:r>
    </w:p>
    <w:p w14:paraId="5B9D4867" w14:textId="77777777" w:rsidR="00AD6CDA" w:rsidRPr="00AD6CDA" w:rsidRDefault="00AD6CDA" w:rsidP="00AD6CDA">
      <w:pPr>
        <w:numPr>
          <w:ilvl w:val="0"/>
          <w:numId w:val="6"/>
        </w:numPr>
        <w:rPr>
          <w:sz w:val="24"/>
          <w:szCs w:val="24"/>
        </w:rPr>
      </w:pPr>
      <w:r w:rsidRPr="00AD6CDA">
        <w:rPr>
          <w:b/>
          <w:sz w:val="24"/>
          <w:szCs w:val="24"/>
        </w:rPr>
        <w:t>Normal</w:t>
      </w:r>
      <w:r w:rsidRPr="00AD6CDA">
        <w:rPr>
          <w:sz w:val="24"/>
          <w:szCs w:val="24"/>
        </w:rPr>
        <w:t>: The sampling distribution of the statistic is approximately Normal.</w:t>
      </w:r>
    </w:p>
    <w:p w14:paraId="3BEF748E" w14:textId="77777777" w:rsidR="00AD6CDA" w:rsidRPr="00AD6CDA" w:rsidRDefault="00AD6CDA" w:rsidP="00AD6CDA">
      <w:pPr>
        <w:numPr>
          <w:ilvl w:val="0"/>
          <w:numId w:val="7"/>
        </w:numPr>
        <w:rPr>
          <w:sz w:val="24"/>
          <w:szCs w:val="24"/>
        </w:rPr>
      </w:pPr>
      <w:r w:rsidRPr="00AD6CDA">
        <w:rPr>
          <w:sz w:val="24"/>
          <w:szCs w:val="24"/>
        </w:rPr>
        <w:t>For means: The sampling distribution is exactly Normal if the population distribution is Normal. When the population distribution is not Normal, then the central limit theorem tells us the sampling distribution will be approximately Normal if n is sufficiently large (n ≥ 30).</w:t>
      </w:r>
    </w:p>
    <w:p w14:paraId="6C573CF5" w14:textId="77777777" w:rsidR="00AD6CDA" w:rsidRPr="00AD6CDA" w:rsidRDefault="00AD6CDA" w:rsidP="00AD6CDA">
      <w:pPr>
        <w:numPr>
          <w:ilvl w:val="0"/>
          <w:numId w:val="7"/>
        </w:numPr>
        <w:rPr>
          <w:sz w:val="24"/>
          <w:szCs w:val="24"/>
        </w:rPr>
      </w:pPr>
      <w:r w:rsidRPr="00AD6CDA">
        <w:rPr>
          <w:sz w:val="24"/>
          <w:szCs w:val="24"/>
        </w:rPr>
        <w:t xml:space="preserve">For proportions: We can use the Normal approximation to the sampling distribution as long as np ≥ 10 and </w:t>
      </w:r>
      <w:proofErr w:type="gramStart"/>
      <w:r w:rsidRPr="00AD6CDA">
        <w:rPr>
          <w:sz w:val="24"/>
          <w:szCs w:val="24"/>
        </w:rPr>
        <w:t>n(</w:t>
      </w:r>
      <w:proofErr w:type="gramEnd"/>
      <w:r w:rsidRPr="00AD6CDA">
        <w:rPr>
          <w:sz w:val="24"/>
          <w:szCs w:val="24"/>
        </w:rPr>
        <w:t>1 – p) ≥ 10.</w:t>
      </w:r>
    </w:p>
    <w:p w14:paraId="69CA66E2" w14:textId="77777777" w:rsidR="00AD6CDA" w:rsidRPr="00AD6CDA" w:rsidRDefault="00AD6CDA" w:rsidP="00AD6CDA">
      <w:pPr>
        <w:numPr>
          <w:ilvl w:val="0"/>
          <w:numId w:val="6"/>
        </w:numPr>
        <w:rPr>
          <w:sz w:val="24"/>
          <w:szCs w:val="24"/>
        </w:rPr>
      </w:pPr>
      <w:r w:rsidRPr="00AD6CDA">
        <w:rPr>
          <w:b/>
          <w:sz w:val="24"/>
          <w:szCs w:val="24"/>
        </w:rPr>
        <w:t>Independent</w:t>
      </w:r>
      <w:r w:rsidRPr="00AD6CDA">
        <w:rPr>
          <w:sz w:val="24"/>
          <w:szCs w:val="24"/>
        </w:rPr>
        <w:t>: Individual observations are independent. When sampling without replacement, the sample size n should be no more than 10% of the population size N (the 10% condition) to use our formula for the standard deviation of the statistic.</w:t>
      </w:r>
    </w:p>
    <w:p w14:paraId="0F351073" w14:textId="77777777" w:rsidR="00AD6CDA" w:rsidRDefault="00AD6CDA" w:rsidP="00AD6CDA">
      <w:pPr>
        <w:rPr>
          <w:b/>
          <w:sz w:val="24"/>
          <w:szCs w:val="24"/>
        </w:rPr>
      </w:pPr>
      <w:r w:rsidRPr="00AD6CDA">
        <w:rPr>
          <w:b/>
          <w:sz w:val="24"/>
          <w:szCs w:val="24"/>
        </w:rPr>
        <w:t>Example #2</w:t>
      </w:r>
    </w:p>
    <w:p w14:paraId="5FC458E6" w14:textId="6A539D53" w:rsidR="00AD6CDA" w:rsidRPr="00AD6CDA" w:rsidRDefault="00AD6CDA" w:rsidP="001A1B7E">
      <w:pPr>
        <w:rPr>
          <w:sz w:val="24"/>
          <w:szCs w:val="24"/>
        </w:rPr>
      </w:pPr>
      <w:r w:rsidRPr="00AD6CDA">
        <w:rPr>
          <w:sz w:val="24"/>
          <w:szCs w:val="24"/>
        </w:rPr>
        <w:t>An online poll was conducted for college students asking whether an F was a fair grade if even a small part of an essay was found to be plagiarized. Of the 20,125 responding, 14,793 said yes (73.5%).  Based on the sample, a 95% confidence interval was constructed for the percent of the population that would say “yes” 73.5% ± 0.61%. Are all conditions met for this confidence interval? Is this confidence interval valid?</w:t>
      </w:r>
      <w:bookmarkStart w:id="0" w:name="_GoBack"/>
      <w:bookmarkEnd w:id="0"/>
    </w:p>
    <w:sectPr w:rsidR="00AD6CDA" w:rsidRPr="00AD6CD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B49C7"/>
    <w:multiLevelType w:val="hybridMultilevel"/>
    <w:tmpl w:val="54522F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C641E"/>
    <w:multiLevelType w:val="hybridMultilevel"/>
    <w:tmpl w:val="1D66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03CEA"/>
    <w:multiLevelType w:val="hybridMultilevel"/>
    <w:tmpl w:val="178A67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1530FA"/>
    <w:multiLevelType w:val="hybridMultilevel"/>
    <w:tmpl w:val="48AC5B20"/>
    <w:lvl w:ilvl="0" w:tplc="8682CDE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92039"/>
    <w:multiLevelType w:val="hybridMultilevel"/>
    <w:tmpl w:val="61B84502"/>
    <w:lvl w:ilvl="0" w:tplc="AB6AB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E3687"/>
    <w:multiLevelType w:val="hybridMultilevel"/>
    <w:tmpl w:val="4B126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C25D70"/>
    <w:multiLevelType w:val="hybridMultilevel"/>
    <w:tmpl w:val="B71A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F5"/>
    <w:rsid w:val="00011248"/>
    <w:rsid w:val="00025D5D"/>
    <w:rsid w:val="00026BA7"/>
    <w:rsid w:val="00027C7B"/>
    <w:rsid w:val="00034EC4"/>
    <w:rsid w:val="00042B5C"/>
    <w:rsid w:val="00046479"/>
    <w:rsid w:val="00062E8D"/>
    <w:rsid w:val="00063F73"/>
    <w:rsid w:val="00066310"/>
    <w:rsid w:val="00067B10"/>
    <w:rsid w:val="00072115"/>
    <w:rsid w:val="000753F6"/>
    <w:rsid w:val="000822FE"/>
    <w:rsid w:val="00097B48"/>
    <w:rsid w:val="000C7653"/>
    <w:rsid w:val="000D0DB0"/>
    <w:rsid w:val="000E24B6"/>
    <w:rsid w:val="000E6D67"/>
    <w:rsid w:val="000E757E"/>
    <w:rsid w:val="000F2132"/>
    <w:rsid w:val="000F5150"/>
    <w:rsid w:val="000F5951"/>
    <w:rsid w:val="00107331"/>
    <w:rsid w:val="00107F0E"/>
    <w:rsid w:val="001136A1"/>
    <w:rsid w:val="00115B8B"/>
    <w:rsid w:val="00117C16"/>
    <w:rsid w:val="001318DB"/>
    <w:rsid w:val="001440DA"/>
    <w:rsid w:val="00155CAB"/>
    <w:rsid w:val="0017308D"/>
    <w:rsid w:val="00184705"/>
    <w:rsid w:val="00184BF1"/>
    <w:rsid w:val="00194D9A"/>
    <w:rsid w:val="00197E94"/>
    <w:rsid w:val="00197F1E"/>
    <w:rsid w:val="001A0448"/>
    <w:rsid w:val="001A1B7E"/>
    <w:rsid w:val="001B1CA2"/>
    <w:rsid w:val="001B44F4"/>
    <w:rsid w:val="001C0B21"/>
    <w:rsid w:val="001C6FC8"/>
    <w:rsid w:val="001D743E"/>
    <w:rsid w:val="001E7A19"/>
    <w:rsid w:val="001F14DD"/>
    <w:rsid w:val="002016E8"/>
    <w:rsid w:val="002043B2"/>
    <w:rsid w:val="002162EF"/>
    <w:rsid w:val="0022036A"/>
    <w:rsid w:val="0022205A"/>
    <w:rsid w:val="002300F3"/>
    <w:rsid w:val="002339EA"/>
    <w:rsid w:val="002351B8"/>
    <w:rsid w:val="002375FB"/>
    <w:rsid w:val="002423B3"/>
    <w:rsid w:val="00247983"/>
    <w:rsid w:val="00264DEA"/>
    <w:rsid w:val="002651CB"/>
    <w:rsid w:val="00265439"/>
    <w:rsid w:val="00272F3E"/>
    <w:rsid w:val="00274B93"/>
    <w:rsid w:val="002814A4"/>
    <w:rsid w:val="0028405F"/>
    <w:rsid w:val="0028454D"/>
    <w:rsid w:val="00293CC9"/>
    <w:rsid w:val="002941E9"/>
    <w:rsid w:val="00294F02"/>
    <w:rsid w:val="002A1A34"/>
    <w:rsid w:val="002A771F"/>
    <w:rsid w:val="002B1214"/>
    <w:rsid w:val="002C4E9B"/>
    <w:rsid w:val="002C72D9"/>
    <w:rsid w:val="002D258C"/>
    <w:rsid w:val="002D2C86"/>
    <w:rsid w:val="002D5A14"/>
    <w:rsid w:val="002D719F"/>
    <w:rsid w:val="002E7991"/>
    <w:rsid w:val="002F57C4"/>
    <w:rsid w:val="003053DA"/>
    <w:rsid w:val="00306ECA"/>
    <w:rsid w:val="0031587F"/>
    <w:rsid w:val="00316C68"/>
    <w:rsid w:val="003171F4"/>
    <w:rsid w:val="003177EA"/>
    <w:rsid w:val="00323B20"/>
    <w:rsid w:val="00324A1D"/>
    <w:rsid w:val="00325DB8"/>
    <w:rsid w:val="00330A01"/>
    <w:rsid w:val="003426C6"/>
    <w:rsid w:val="00343E83"/>
    <w:rsid w:val="00352B8E"/>
    <w:rsid w:val="003532FA"/>
    <w:rsid w:val="003536B8"/>
    <w:rsid w:val="0035411D"/>
    <w:rsid w:val="003730EC"/>
    <w:rsid w:val="0037313B"/>
    <w:rsid w:val="00373D00"/>
    <w:rsid w:val="00381399"/>
    <w:rsid w:val="0039044E"/>
    <w:rsid w:val="003962CC"/>
    <w:rsid w:val="003A1405"/>
    <w:rsid w:val="003A4D3D"/>
    <w:rsid w:val="003B3276"/>
    <w:rsid w:val="003B35E4"/>
    <w:rsid w:val="003B3AAA"/>
    <w:rsid w:val="003B40CE"/>
    <w:rsid w:val="003C714D"/>
    <w:rsid w:val="003C7671"/>
    <w:rsid w:val="003D13EC"/>
    <w:rsid w:val="003D26D0"/>
    <w:rsid w:val="003D5D6C"/>
    <w:rsid w:val="003D7A11"/>
    <w:rsid w:val="00403936"/>
    <w:rsid w:val="00412C79"/>
    <w:rsid w:val="004160B4"/>
    <w:rsid w:val="0041693A"/>
    <w:rsid w:val="00421E13"/>
    <w:rsid w:val="00433AA8"/>
    <w:rsid w:val="00436C82"/>
    <w:rsid w:val="00437490"/>
    <w:rsid w:val="004420AB"/>
    <w:rsid w:val="00456982"/>
    <w:rsid w:val="00461562"/>
    <w:rsid w:val="00466DBD"/>
    <w:rsid w:val="0047122D"/>
    <w:rsid w:val="00473CF1"/>
    <w:rsid w:val="00477734"/>
    <w:rsid w:val="00483DA9"/>
    <w:rsid w:val="004927D2"/>
    <w:rsid w:val="00493B70"/>
    <w:rsid w:val="004956F6"/>
    <w:rsid w:val="004A0086"/>
    <w:rsid w:val="004A4465"/>
    <w:rsid w:val="004B0D5C"/>
    <w:rsid w:val="004B14F9"/>
    <w:rsid w:val="004B49D1"/>
    <w:rsid w:val="004B72C3"/>
    <w:rsid w:val="004C0A54"/>
    <w:rsid w:val="004C4B17"/>
    <w:rsid w:val="004D3BFD"/>
    <w:rsid w:val="004D52F5"/>
    <w:rsid w:val="004D650A"/>
    <w:rsid w:val="004E16A1"/>
    <w:rsid w:val="004E2013"/>
    <w:rsid w:val="004F2DF9"/>
    <w:rsid w:val="004F3050"/>
    <w:rsid w:val="004F6DBC"/>
    <w:rsid w:val="005006BC"/>
    <w:rsid w:val="0050200F"/>
    <w:rsid w:val="005062BD"/>
    <w:rsid w:val="00507777"/>
    <w:rsid w:val="005173BF"/>
    <w:rsid w:val="0052561F"/>
    <w:rsid w:val="00525E3D"/>
    <w:rsid w:val="005260C3"/>
    <w:rsid w:val="00531281"/>
    <w:rsid w:val="00534B43"/>
    <w:rsid w:val="00536E65"/>
    <w:rsid w:val="00540507"/>
    <w:rsid w:val="00543A99"/>
    <w:rsid w:val="00551D45"/>
    <w:rsid w:val="00554A3C"/>
    <w:rsid w:val="0056135E"/>
    <w:rsid w:val="00566884"/>
    <w:rsid w:val="00567A67"/>
    <w:rsid w:val="0057365B"/>
    <w:rsid w:val="005739B1"/>
    <w:rsid w:val="00585F9F"/>
    <w:rsid w:val="00590177"/>
    <w:rsid w:val="00591468"/>
    <w:rsid w:val="0059739B"/>
    <w:rsid w:val="005A002A"/>
    <w:rsid w:val="005A21C0"/>
    <w:rsid w:val="005A33ED"/>
    <w:rsid w:val="005A34F0"/>
    <w:rsid w:val="005A4D55"/>
    <w:rsid w:val="005A7E4E"/>
    <w:rsid w:val="005B7663"/>
    <w:rsid w:val="005C045F"/>
    <w:rsid w:val="005C10C5"/>
    <w:rsid w:val="005C4397"/>
    <w:rsid w:val="005D25B4"/>
    <w:rsid w:val="005D59BC"/>
    <w:rsid w:val="005D7DA1"/>
    <w:rsid w:val="005D7F57"/>
    <w:rsid w:val="005E3AA6"/>
    <w:rsid w:val="005F2D84"/>
    <w:rsid w:val="005F6DD5"/>
    <w:rsid w:val="006047BF"/>
    <w:rsid w:val="00605CEF"/>
    <w:rsid w:val="00606E48"/>
    <w:rsid w:val="0062063E"/>
    <w:rsid w:val="00623F67"/>
    <w:rsid w:val="00631999"/>
    <w:rsid w:val="00642E0D"/>
    <w:rsid w:val="00645809"/>
    <w:rsid w:val="00662CCC"/>
    <w:rsid w:val="00666592"/>
    <w:rsid w:val="0066778B"/>
    <w:rsid w:val="0067324D"/>
    <w:rsid w:val="00681536"/>
    <w:rsid w:val="00681D5F"/>
    <w:rsid w:val="0068416D"/>
    <w:rsid w:val="0068764E"/>
    <w:rsid w:val="006954AB"/>
    <w:rsid w:val="0069717F"/>
    <w:rsid w:val="006B1793"/>
    <w:rsid w:val="006B1F97"/>
    <w:rsid w:val="006C630C"/>
    <w:rsid w:val="006D1E07"/>
    <w:rsid w:val="006D75AB"/>
    <w:rsid w:val="006E254C"/>
    <w:rsid w:val="00711461"/>
    <w:rsid w:val="0072113A"/>
    <w:rsid w:val="0073530C"/>
    <w:rsid w:val="007400D1"/>
    <w:rsid w:val="007431B9"/>
    <w:rsid w:val="00746A5F"/>
    <w:rsid w:val="007474A8"/>
    <w:rsid w:val="0075448D"/>
    <w:rsid w:val="007650C1"/>
    <w:rsid w:val="00774660"/>
    <w:rsid w:val="0079228E"/>
    <w:rsid w:val="007A0C3E"/>
    <w:rsid w:val="007A1D99"/>
    <w:rsid w:val="007B1F90"/>
    <w:rsid w:val="007B24D4"/>
    <w:rsid w:val="007D14B6"/>
    <w:rsid w:val="007E7873"/>
    <w:rsid w:val="0080271B"/>
    <w:rsid w:val="0080514C"/>
    <w:rsid w:val="008116D7"/>
    <w:rsid w:val="00814F9F"/>
    <w:rsid w:val="00820D02"/>
    <w:rsid w:val="00824F6D"/>
    <w:rsid w:val="0082608E"/>
    <w:rsid w:val="00827290"/>
    <w:rsid w:val="00833967"/>
    <w:rsid w:val="00833A38"/>
    <w:rsid w:val="0083492E"/>
    <w:rsid w:val="008441E4"/>
    <w:rsid w:val="0085035B"/>
    <w:rsid w:val="00851A13"/>
    <w:rsid w:val="0086388A"/>
    <w:rsid w:val="00873DF0"/>
    <w:rsid w:val="00883803"/>
    <w:rsid w:val="0088726C"/>
    <w:rsid w:val="00890049"/>
    <w:rsid w:val="0089331D"/>
    <w:rsid w:val="008957F4"/>
    <w:rsid w:val="00897BF2"/>
    <w:rsid w:val="008A403A"/>
    <w:rsid w:val="008A61E0"/>
    <w:rsid w:val="008A7342"/>
    <w:rsid w:val="008B03B4"/>
    <w:rsid w:val="008B486E"/>
    <w:rsid w:val="008C6189"/>
    <w:rsid w:val="008D170B"/>
    <w:rsid w:val="008E12BF"/>
    <w:rsid w:val="008E500D"/>
    <w:rsid w:val="008E7618"/>
    <w:rsid w:val="009018E4"/>
    <w:rsid w:val="0090607C"/>
    <w:rsid w:val="00913A20"/>
    <w:rsid w:val="00922187"/>
    <w:rsid w:val="00937EF7"/>
    <w:rsid w:val="00942D08"/>
    <w:rsid w:val="009432F3"/>
    <w:rsid w:val="009528F3"/>
    <w:rsid w:val="00954C92"/>
    <w:rsid w:val="00971F8C"/>
    <w:rsid w:val="00975BF9"/>
    <w:rsid w:val="0099726B"/>
    <w:rsid w:val="009B293E"/>
    <w:rsid w:val="009C7B26"/>
    <w:rsid w:val="009D0DDA"/>
    <w:rsid w:val="009D0F85"/>
    <w:rsid w:val="009D3B0D"/>
    <w:rsid w:val="009D7633"/>
    <w:rsid w:val="009E37FF"/>
    <w:rsid w:val="009E42EE"/>
    <w:rsid w:val="009E7E78"/>
    <w:rsid w:val="009F33AB"/>
    <w:rsid w:val="00A02697"/>
    <w:rsid w:val="00A12084"/>
    <w:rsid w:val="00A164A2"/>
    <w:rsid w:val="00A24410"/>
    <w:rsid w:val="00A34EEE"/>
    <w:rsid w:val="00A37958"/>
    <w:rsid w:val="00A466E6"/>
    <w:rsid w:val="00A46DD9"/>
    <w:rsid w:val="00A52A80"/>
    <w:rsid w:val="00A53C0E"/>
    <w:rsid w:val="00A5499B"/>
    <w:rsid w:val="00A54DA5"/>
    <w:rsid w:val="00A55AE0"/>
    <w:rsid w:val="00A55B9F"/>
    <w:rsid w:val="00A670B5"/>
    <w:rsid w:val="00A716C2"/>
    <w:rsid w:val="00A72925"/>
    <w:rsid w:val="00A80675"/>
    <w:rsid w:val="00A806B7"/>
    <w:rsid w:val="00A8496C"/>
    <w:rsid w:val="00A90BC0"/>
    <w:rsid w:val="00A97A8E"/>
    <w:rsid w:val="00AA7297"/>
    <w:rsid w:val="00AB7C90"/>
    <w:rsid w:val="00AC75B2"/>
    <w:rsid w:val="00AD25D3"/>
    <w:rsid w:val="00AD6CDA"/>
    <w:rsid w:val="00AD6E38"/>
    <w:rsid w:val="00AE1A14"/>
    <w:rsid w:val="00AE598A"/>
    <w:rsid w:val="00AE69B1"/>
    <w:rsid w:val="00AF2282"/>
    <w:rsid w:val="00AF5923"/>
    <w:rsid w:val="00AF5B27"/>
    <w:rsid w:val="00AF6B59"/>
    <w:rsid w:val="00B020B8"/>
    <w:rsid w:val="00B11395"/>
    <w:rsid w:val="00B20B06"/>
    <w:rsid w:val="00B21217"/>
    <w:rsid w:val="00B347AE"/>
    <w:rsid w:val="00B45A61"/>
    <w:rsid w:val="00B476E6"/>
    <w:rsid w:val="00B52981"/>
    <w:rsid w:val="00B537A3"/>
    <w:rsid w:val="00B5660E"/>
    <w:rsid w:val="00B71312"/>
    <w:rsid w:val="00B73FB6"/>
    <w:rsid w:val="00B742AE"/>
    <w:rsid w:val="00B8250A"/>
    <w:rsid w:val="00B84AA0"/>
    <w:rsid w:val="00B87244"/>
    <w:rsid w:val="00B87E83"/>
    <w:rsid w:val="00B90A11"/>
    <w:rsid w:val="00B924F8"/>
    <w:rsid w:val="00B929B4"/>
    <w:rsid w:val="00B93B4E"/>
    <w:rsid w:val="00BA4853"/>
    <w:rsid w:val="00BC4D0B"/>
    <w:rsid w:val="00BC6B11"/>
    <w:rsid w:val="00BC7407"/>
    <w:rsid w:val="00BC7BCC"/>
    <w:rsid w:val="00BD3C61"/>
    <w:rsid w:val="00BD4EA6"/>
    <w:rsid w:val="00BD7627"/>
    <w:rsid w:val="00BE6037"/>
    <w:rsid w:val="00BF64C1"/>
    <w:rsid w:val="00C06C0D"/>
    <w:rsid w:val="00C073C7"/>
    <w:rsid w:val="00C11FC8"/>
    <w:rsid w:val="00C20171"/>
    <w:rsid w:val="00C25614"/>
    <w:rsid w:val="00C31F67"/>
    <w:rsid w:val="00C32734"/>
    <w:rsid w:val="00C40A02"/>
    <w:rsid w:val="00C41061"/>
    <w:rsid w:val="00C412F3"/>
    <w:rsid w:val="00C424ED"/>
    <w:rsid w:val="00C43D76"/>
    <w:rsid w:val="00C46594"/>
    <w:rsid w:val="00C745CB"/>
    <w:rsid w:val="00C75959"/>
    <w:rsid w:val="00C768DC"/>
    <w:rsid w:val="00C772F7"/>
    <w:rsid w:val="00C83481"/>
    <w:rsid w:val="00CB3473"/>
    <w:rsid w:val="00CB378E"/>
    <w:rsid w:val="00CB620D"/>
    <w:rsid w:val="00CC4CA2"/>
    <w:rsid w:val="00CD2467"/>
    <w:rsid w:val="00CD5AEC"/>
    <w:rsid w:val="00CE0B8D"/>
    <w:rsid w:val="00CE2AA4"/>
    <w:rsid w:val="00CF007C"/>
    <w:rsid w:val="00CF18CD"/>
    <w:rsid w:val="00D048B5"/>
    <w:rsid w:val="00D15945"/>
    <w:rsid w:val="00D25FF5"/>
    <w:rsid w:val="00D34257"/>
    <w:rsid w:val="00D343C1"/>
    <w:rsid w:val="00D412D3"/>
    <w:rsid w:val="00D472CD"/>
    <w:rsid w:val="00D51012"/>
    <w:rsid w:val="00D655F9"/>
    <w:rsid w:val="00D83AD1"/>
    <w:rsid w:val="00D90541"/>
    <w:rsid w:val="00D919A5"/>
    <w:rsid w:val="00DB16B9"/>
    <w:rsid w:val="00DC0773"/>
    <w:rsid w:val="00DD0C82"/>
    <w:rsid w:val="00DD17F8"/>
    <w:rsid w:val="00DF58B4"/>
    <w:rsid w:val="00DF6618"/>
    <w:rsid w:val="00E03F74"/>
    <w:rsid w:val="00E07677"/>
    <w:rsid w:val="00E1100B"/>
    <w:rsid w:val="00E164C6"/>
    <w:rsid w:val="00E1776F"/>
    <w:rsid w:val="00E209CD"/>
    <w:rsid w:val="00E44B6D"/>
    <w:rsid w:val="00E52C09"/>
    <w:rsid w:val="00E54752"/>
    <w:rsid w:val="00E63EF0"/>
    <w:rsid w:val="00E71430"/>
    <w:rsid w:val="00E762CA"/>
    <w:rsid w:val="00E8452C"/>
    <w:rsid w:val="00E85B18"/>
    <w:rsid w:val="00E87DB9"/>
    <w:rsid w:val="00E95044"/>
    <w:rsid w:val="00EA2228"/>
    <w:rsid w:val="00EA51A8"/>
    <w:rsid w:val="00EB2F34"/>
    <w:rsid w:val="00EB2FA0"/>
    <w:rsid w:val="00EB630E"/>
    <w:rsid w:val="00EB68EF"/>
    <w:rsid w:val="00EC037D"/>
    <w:rsid w:val="00EC36DD"/>
    <w:rsid w:val="00ED165D"/>
    <w:rsid w:val="00ED29AD"/>
    <w:rsid w:val="00ED6B7E"/>
    <w:rsid w:val="00EE1E83"/>
    <w:rsid w:val="00EE35F5"/>
    <w:rsid w:val="00EE3E74"/>
    <w:rsid w:val="00EE4654"/>
    <w:rsid w:val="00F027C4"/>
    <w:rsid w:val="00F111DB"/>
    <w:rsid w:val="00F13E5E"/>
    <w:rsid w:val="00F14804"/>
    <w:rsid w:val="00F1573D"/>
    <w:rsid w:val="00F17E69"/>
    <w:rsid w:val="00F22629"/>
    <w:rsid w:val="00F23FC8"/>
    <w:rsid w:val="00F2465A"/>
    <w:rsid w:val="00F2494C"/>
    <w:rsid w:val="00F42DF5"/>
    <w:rsid w:val="00F46954"/>
    <w:rsid w:val="00F630A2"/>
    <w:rsid w:val="00F63E4C"/>
    <w:rsid w:val="00F6648C"/>
    <w:rsid w:val="00F77F55"/>
    <w:rsid w:val="00F94D30"/>
    <w:rsid w:val="00F9759A"/>
    <w:rsid w:val="00F978C9"/>
    <w:rsid w:val="00FB68B1"/>
    <w:rsid w:val="00FC024E"/>
    <w:rsid w:val="00FC0969"/>
    <w:rsid w:val="00FC4605"/>
    <w:rsid w:val="00FE3CB7"/>
    <w:rsid w:val="00FE58CD"/>
    <w:rsid w:val="00FF4B20"/>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F43E"/>
  <w15:docId w15:val="{B9A378F3-A934-48EE-A9A6-B3EC4A6A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DF5"/>
    <w:pPr>
      <w:ind w:left="720"/>
      <w:contextualSpacing/>
    </w:pPr>
  </w:style>
  <w:style w:type="character" w:styleId="Hyperlink">
    <w:name w:val="Hyperlink"/>
    <w:basedOn w:val="DefaultParagraphFont"/>
    <w:uiPriority w:val="99"/>
    <w:unhideWhenUsed/>
    <w:rsid w:val="00316C68"/>
    <w:rPr>
      <w:color w:val="0000FF" w:themeColor="hyperlink"/>
      <w:u w:val="single"/>
    </w:rPr>
  </w:style>
  <w:style w:type="character" w:styleId="FollowedHyperlink">
    <w:name w:val="FollowedHyperlink"/>
    <w:basedOn w:val="DefaultParagraphFont"/>
    <w:uiPriority w:val="99"/>
    <w:semiHidden/>
    <w:unhideWhenUsed/>
    <w:rsid w:val="001A1B7E"/>
    <w:rPr>
      <w:color w:val="800080" w:themeColor="followedHyperlink"/>
      <w:u w:val="single"/>
    </w:rPr>
  </w:style>
  <w:style w:type="paragraph" w:styleId="NormalWeb">
    <w:name w:val="Normal (Web)"/>
    <w:basedOn w:val="Normal"/>
    <w:uiPriority w:val="99"/>
    <w:semiHidden/>
    <w:unhideWhenUsed/>
    <w:rsid w:val="001A1B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youtube.com/watch?v=dJ2XyxxuO9c"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Nicol</dc:creator>
  <cp:lastModifiedBy>Bruce Nicol</cp:lastModifiedBy>
  <cp:revision>2</cp:revision>
  <cp:lastPrinted>2015-01-14T12:17:00Z</cp:lastPrinted>
  <dcterms:created xsi:type="dcterms:W3CDTF">2017-04-18T11:38:00Z</dcterms:created>
  <dcterms:modified xsi:type="dcterms:W3CDTF">2017-04-18T11:38:00Z</dcterms:modified>
</cp:coreProperties>
</file>